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2"/>
        <w:jc w:val="both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2024 –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21.12.2023 № 565-пп</w:t>
      </w:r>
      <w:r>
        <w:rPr>
          <w:color w:val="000000"/>
          <w:spacing w:val="2"/>
        </w:rPr>
      </w:r>
      <w:r>
        <w:rPr>
          <w:color w:val="000000"/>
          <w:spacing w:val="2"/>
        </w:rPr>
      </w:r>
    </w:p>
    <w:p>
      <w:pPr>
        <w:pStyle w:val="93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2024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5" w:tooltip="http://docs.cntd.ru/document/430647024" w:history="1">
        <w:r>
          <w:rPr>
            <w:rStyle w:val="939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21.12.2023 № 565-пп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2024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Строку «Финансовое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обеспечение реализации государственной программы за счет средств областного бюджета и прогнозная оценка расходов федерального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» раздела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Паспорт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«Профилактика и ликвидация особо опасных болезней животных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территории Еврейской автономной области»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2024 – 2028 годы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16"/>
          <w:szCs w:val="16"/>
        </w:rPr>
      </w:r>
    </w:p>
    <w:tbl>
      <w:tblPr>
        <w:tblStyle w:val="94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95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«Финансовое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обеспечение реализации государственной программы за счет средств областного бюджета и прогнозная оценка расходов федерального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5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Общий объем финансирования государственной программы за счет средств областного бюджета составляе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204256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с. рублей, в том числе по годам: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16"/>
              </w:rPr>
            </w:r>
          </w:p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66638,5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60839,0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60141,2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43389,6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  <w:p>
            <w:pPr>
              <w:pStyle w:val="954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43389,6 тыс. рублей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 1.1. таблицы</w:t>
      </w:r>
      <w:r>
        <w:rPr>
          <w:sz w:val="28"/>
          <w:szCs w:val="28"/>
        </w:rPr>
        <w:t xml:space="preserve"> 3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«Структурные элементы государственной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области»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раздела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Паспорт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«Профилактика и ликвидация особо опасных болезней животных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территории Еврейской автономной области»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2024 – 2028 годы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continuous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6236"/>
        <w:gridCol w:w="4190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«1.1</w:t>
            </w: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pacing w:val="2"/>
                <w:sz w:val="18"/>
                <w:szCs w:val="18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Участие в межрегиональных учениях ветеринарных служб по локализации очагов заразных, особо опасных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болезней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, в том числе общих для человека и животных, и проведение двух региональных ветеринарных учений (2028 год).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Создание, содержание и пополнение резерва материальных запасов (дезинфицирующие средства, специальная одежда и другое) для своевременной ликвидации очагов особо опасных заболеваний –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не менее 10 единиц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 (2028 год).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Проведение двух мероприятий по профилактике и ликвидации особо опасных болезней животных, включая африканскую чуму свиней, бешенство и другие             (2028 год)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Выплата к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омпенсации части потерь физическим и юридическим лицам, являющимся собственниками КРС, больного лейкозом: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2024 год – за 51 голову КРС;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2025 год – за 46 голов КРС;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2026 год – за 41 голову КРС;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2027 год – за 15 голов КРС;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2028 год – за 15 голов КРС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</w:tc>
        <w:tc>
          <w:tcPr>
            <w:tcW w:w="41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  <w:t xml:space="preserve">Обеспечение эпизоотического и ветеринарно-санитарного благополучия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ru-RU"/>
              </w:rPr>
            </w:r>
          </w:p>
        </w:tc>
      </w:tr>
    </w:tbl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1.3. В подразделе 4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таблиц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  <w:lang w:val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№ 4.1</w:t>
      </w:r>
      <w:r>
        <w:rPr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за счет средств областного бюджета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ru-RU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</w:r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jc w:val="both"/>
        <w:rPr>
          <w:color w:val="000000"/>
          <w:spacing w:val="2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9" w:type="pct"/>
        <w:tblLayout w:type="fixed"/>
        <w:tblLook w:val="04A0" w:firstRow="1" w:lastRow="0" w:firstColumn="1" w:lastColumn="0" w:noHBand="0" w:noVBand="1"/>
      </w:tblPr>
      <w:tblGrid>
        <w:gridCol w:w="3116"/>
        <w:gridCol w:w="2832"/>
        <w:gridCol w:w="708"/>
        <w:gridCol w:w="708"/>
        <w:gridCol w:w="1133"/>
        <w:gridCol w:w="991"/>
        <w:gridCol w:w="991"/>
        <w:gridCol w:w="849"/>
        <w:gridCol w:w="991"/>
        <w:gridCol w:w="1133"/>
        <w:gridCol w:w="1134"/>
      </w:tblGrid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 БС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14" w:lineRule="exact"/>
      </w:pPr>
      <w:r/>
      <w:r/>
    </w:p>
    <w:tbl>
      <w:tblPr>
        <w:tblStyle w:val="949"/>
        <w:tblW w:w="5009" w:type="pct"/>
        <w:tblLayout w:type="fixed"/>
        <w:tblLook w:val="04A0" w:firstRow="1" w:lastRow="0" w:firstColumn="1" w:lastColumn="0" w:noHBand="0" w:noVBand="1"/>
      </w:tblPr>
      <w:tblGrid>
        <w:gridCol w:w="3149"/>
        <w:gridCol w:w="2863"/>
        <w:gridCol w:w="716"/>
        <w:gridCol w:w="716"/>
        <w:gridCol w:w="1145"/>
        <w:gridCol w:w="1002"/>
        <w:gridCol w:w="1002"/>
        <w:gridCol w:w="838"/>
        <w:gridCol w:w="1023"/>
        <w:gridCol w:w="1226"/>
        <w:gridCol w:w="1064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Еврейской автономной области «Профилактика и ликвидация особо опасных болезней животных на территории Еврейской автономной области» на 2024 – 2028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274397,9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66638,5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60839,0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60141,2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43389,6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249397,9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61638,5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55839,0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55141,2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38389,6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38389,6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промышленности и сельского хозяйства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«Предупреждение и ликвидация болезней животных, обеспечение безопасности продукции животного происхождения в ветеринарно-санитарном отношении и защита населения от болезней, общих для человека и животных»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«Участие в межрегиональных учениях ветеринарных служб по локализации очагов заразных, особо опасных болезней, в том числе общих для человека и животных, и проведение двух региональных ветеринарных учений»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7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57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«Создание, содержание и пополнение резерва материальных запасов (дезинфицирующие средства, специальная одежда и другое) для своевременной ликвидации очагов особо опасных заболеваний»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и ликвидации особо опасных болезней животных, включая африканскую чуму свиней, бешенство и другие»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«Компенсация части потерь физическим и юридическим лицам, являющимся собственниками КРС, больного лейкозом»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0400102300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0400102300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«Развитие государственной ветеринарной службы Еврейской автономной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Укрепление материально-технической базы областных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государственных бюджетных учреждени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й, функции и полномочия учредителя которых осуществляет департамент ветеринарии, включая приобретение приборов, инструментария и оборудования ветеринарного назначения, автомобильного транспорта, специальной техники и других товаров ветеринарного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лабораторно-диагностической базы (подготовка к аккредитации, ее прохождение и подтверждение технической компетентности)»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«Повышение квалификации специалистов в области ветеринарии»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lef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7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</w:t>
            </w:r>
            <w:r/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ремонта зданий областных государственных бюджетных учреждений, функции и полномочия учредителя которых осуществляет департамент ветеринарии, включая разработку проектной документации»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0400620280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</w:t>
            </w:r>
            <w:r/>
          </w:p>
          <w:p>
            <w:pPr>
              <w:pStyle w:val="9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областных государственных бюджетных учреждений, функции и полномочия учредителя которых осуществляет департамент ветеринарии»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0400300000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236277,9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60873,5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55149,0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54526,2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38164,6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3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0400300590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236277,9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60873,5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55149,0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54526,2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38164,6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0400300590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236277,9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60873,5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55149,0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54526,2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38164,6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27564,6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0400300590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236277,9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60873,5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55149,0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54526,2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38164,6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27564,6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федеральным и областным законодательством»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0400702200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промышленности и сельского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0400702200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«Биробиджанский муниципальный район» Еврейской автономной области (по согласованию),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«Смидовичский 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 (по согласованию)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0400702200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регистрации, учету и маркировке животных в соответствии с федеральным законодательством»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ветеринарии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31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0" w:type="dxa"/>
              <w:right w:w="74" w:type="dxa"/>
              <w:bottom w:w="0" w:type="dxa"/>
            </w:tcMar>
            <w:tcW w:w="286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«Ленинская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«Смидовичская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«Октябрьская райветстанция»,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«Облученская райветстанция»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7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0400720280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2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0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1.4. Таблицу № 4.2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Еврейской автономной области по направлениям расходов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49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226"/>
        <w:gridCol w:w="1164"/>
        <w:gridCol w:w="962"/>
        <w:gridCol w:w="992"/>
        <w:gridCol w:w="1134"/>
        <w:gridCol w:w="992"/>
        <w:gridCol w:w="1100"/>
      </w:tblGrid>
      <w:tr>
        <w:trPr>
          <w:jc w:val="center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6"/>
            <w:tcW w:w="634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continue"/>
            <w:textDirection w:val="lrTb"/>
            <w:noWrap w:val="false"/>
          </w:tcPr>
          <w:p>
            <w:pPr>
              <w:ind w:left="-62"/>
            </w:pPr>
            <w:r/>
            <w:r/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5"/>
            <w:tcW w:w="518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W w:w="3226" w:type="dxa"/>
            <w:vMerge w:val="continue"/>
            <w:textDirection w:val="lrTb"/>
            <w:noWrap w:val="false"/>
          </w:tcPr>
          <w:p>
            <w:pPr>
              <w:ind w:left="-62"/>
            </w:pPr>
            <w:r/>
            <w:r/>
          </w:p>
        </w:tc>
        <w:tc>
          <w:tcPr>
            <w:tcW w:w="11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76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ind w:lef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420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W w:w="32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204256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,7</w:t>
            </w:r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66638,5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60839,0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60141,2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43389,6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43389,6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W w:w="32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НИОКР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W w:w="32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76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</w:trPr>
        <w:tc>
          <w:tcPr>
            <w:tcW w:w="322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204256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,7</w:t>
            </w:r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66638,5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60839,0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60141,2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43389,6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43389,6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jc w:val="center"/>
          <w:trHeight w:val="253"/>
        </w:trPr>
        <w:tc>
          <w:tcPr>
            <w:tcW w:w="322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6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pStyle w:val="9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contextualSpacing/>
        <w:ind w:left="0" w:right="0" w:firstLine="709"/>
        <w:jc w:val="both"/>
        <w:rPr>
          <w:sz w:val="22"/>
          <w:szCs w:val="22"/>
          <w:highlight w:val="none"/>
        </w:rPr>
        <w:outlineLvl w:val="0"/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1.5.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Раздел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План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реализации государственной программы Еврейской автономной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области на 2024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2028 годы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» 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38"/>
        <w:jc w:val="center"/>
      </w:pPr>
      <w:r/>
      <w:r/>
      <w:r/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624"/>
        <w:gridCol w:w="4197"/>
      </w:tblGrid>
      <w:tr>
        <w:trPr>
          <w:trHeight w:val="374"/>
        </w:trPr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  <w:r/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675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626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200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38"/>
        <w:jc w:val="center"/>
        <w:spacing w:line="17" w:lineRule="exact"/>
      </w:pPr>
      <w:r/>
      <w:r/>
      <w:r/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624"/>
        <w:gridCol w:w="4197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1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болезней животных, обеспечение безопасности продукции животного происхождения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ветеринарно-санитарном отношении и защита населения от болезней, общих для человека и животных»</w:t>
            </w:r>
            <w:r/>
            <w:r/>
          </w:p>
          <w:p>
            <w:r/>
            <w:r/>
            <w:r/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25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2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потерь физическим и юридическим лицам, являющимся собственниками КРС, больного лейкозом, – за 51 голову КРС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25.12. 2024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18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областных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учреждений,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осуществляет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ветеринарии»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лабораторных, диагностических исследований в количестве 35400 проб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обработок (вакцинаций) в количестве 172600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головообработок</w:t>
            </w:r>
            <w:r/>
            <w:r/>
          </w:p>
        </w:tc>
        <w:tc>
          <w:tcPr>
            <w:tcW w:w="262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pStyle w:val="93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соответствии с федеральным и областным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сельского хозяйства,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«Октябрьский муниципальный район» Еврейской автономной области (по согласованию), муниципальное образование «Смидовичский муниципальный район» Еврейской автономной области (по согласованию), муниципальное образование «Облученский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при осуществлении деятельности по обращению с животными без владельцев в количестве около 331 головы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938"/>
        <w:jc w:val="center"/>
      </w:pPr>
      <w:r/>
      <w:r/>
      <w:r/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 </w:t>
      </w:r>
      <w:r/>
      <w:r/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и ликвидация особо опасных болезней животных на территории Еврейской автономной области» </w:t>
      </w:r>
      <w:r/>
      <w:r/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2025 год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624"/>
        <w:gridCol w:w="4197"/>
      </w:tblGrid>
      <w:tr>
        <w:trPr>
          <w:trHeight w:val="374"/>
        </w:trPr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  <w:r/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675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626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200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43"/>
        <w:ind w:right="-2"/>
        <w:spacing w:before="0" w:beforeAutospacing="0" w:after="0" w:afterAutospacing="0" w:line="17" w:lineRule="exac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624"/>
        <w:gridCol w:w="4197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1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болезней животных, обеспечение безопасности продукции животного происхождения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ветеринарно-санитарном отношении и защита населения от болезней, общих для человека и животных»</w:t>
            </w:r>
            <w:r/>
            <w:r/>
          </w:p>
          <w:p>
            <w:r/>
            <w:r/>
            <w:r/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25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3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«Ленинская райветстанция»,                                             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56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потерь физическим и юридическим лицам, являющимся собственниками КРС, больного лейкозом, – за 46 голов КРС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18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областных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учреждений,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осуществляет департамент ветеринарии»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лабораторных, диагностических исследований в количестве 35400 проб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обработок (вакцинаций) в количестве 172600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головообработок</w:t>
            </w:r>
            <w:r/>
            <w:r/>
          </w:p>
        </w:tc>
        <w:tc>
          <w:tcPr>
            <w:tcW w:w="262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pStyle w:val="93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соответствии с федеральным и областным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при осуществлении деятельности по обращению с животными без владельцев в количестве около 331 головы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20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 </w:t>
      </w:r>
      <w:r/>
      <w:r/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и ликвидация особо опасных болезней животных на территории Еврейской автономной области» </w:t>
      </w:r>
      <w:r/>
      <w:r/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2026 год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62"/>
        <w:gridCol w:w="4359"/>
      </w:tblGrid>
      <w:tr>
        <w:trPr>
          <w:trHeight w:val="374"/>
        </w:trPr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  <w:r/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6747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46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43"/>
        <w:ind w:right="-2"/>
        <w:spacing w:before="0" w:beforeAutospacing="0" w:after="0" w:afterAutospacing="0" w:line="17" w:lineRule="exac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62"/>
        <w:gridCol w:w="4359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15"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болезней животных, обеспечение безопасности продукции животного происхождения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ветеринарно-санитарном отношении и защита населения от болезней, общих для человека и животных»</w:t>
            </w:r>
            <w:r/>
            <w:r/>
          </w:p>
          <w:p>
            <w:r/>
            <w:r/>
            <w:r/>
          </w:p>
        </w:tc>
        <w:tc>
          <w:tcPr>
            <w:tcW w:w="43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5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59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29"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потерь физическим и юридическим лицам, являющимся собственниками КРС, больного лейкозом, – за 41 голову КРС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59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3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областных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учреждений,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осуществляет департамент ветеринарии»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59" w:type="dxa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68" w:type="dxa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59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лабораторных, диагностических исследований в количестве 35400 проб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59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1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7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обработок (вакцинаций) в количестве 172600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головообработок</w:t>
            </w:r>
            <w:r/>
            <w:r/>
          </w:p>
        </w:tc>
        <w:tc>
          <w:tcPr>
            <w:tcW w:w="246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359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pPr>
              <w:pStyle w:val="93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соответствии с федеральным и областным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0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5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7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при осуществлении деятельности по обращению с животными без владельцев в количестве около 331 головы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25.12.2026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359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 </w:t>
      </w:r>
      <w:r/>
      <w:r/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«Профилактика и ликвидация особо опасных болезней животных на территории Еврейской автономной области»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2027 год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59"/>
        <w:gridCol w:w="4362"/>
      </w:tblGrid>
      <w:tr>
        <w:trPr>
          <w:trHeight w:val="374"/>
        </w:trPr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  <w:r/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675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461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43"/>
        <w:ind w:right="-2"/>
        <w:spacing w:before="0" w:beforeAutospacing="0" w:after="0" w:afterAutospacing="0" w:line="17" w:lineRule="exac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59"/>
        <w:gridCol w:w="4362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1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болезней животных, обеспечение безопасности продукции животного происхождения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ветеринарно-санитарном отношении и защита населения от болезней, общих для человека и животных»</w:t>
            </w:r>
            <w:r/>
            <w:r/>
          </w:p>
          <w:p>
            <w:r/>
            <w:r/>
            <w:r/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2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потерь физическим и юридическим лицам, являющимся собственниками КРС, больного лейкозом, – за 15 голов КРС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областных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учреждений,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осуществляет департамент ветеринарии»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/>
            <w:r/>
          </w:p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райветстанция»,</w:t>
            </w:r>
            <w:r/>
            <w:r/>
          </w:p>
          <w:p>
            <w:pPr>
              <w:pStyle w:val="938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лабораторных, диагностических исследований в количестве 35400 проб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обработок (вакцинаций) в количестве 172600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головообработок</w:t>
            </w:r>
            <w:r/>
            <w:r/>
          </w:p>
        </w:tc>
        <w:tc>
          <w:tcPr>
            <w:tcW w:w="246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pStyle w:val="93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соответствии с федеральным и областным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3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при осуществлении деятельности по обращению с животными без владельцев в количестве около 331 головы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25.12.2027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 </w:t>
      </w:r>
      <w:r/>
      <w:r/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«Профилактика и ликвидация особо опасных болезней животных на территории Еврейской автономной области»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2028 год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943"/>
        <w:ind w:right="-2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Borders>
          <w:bottom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59"/>
        <w:gridCol w:w="4362"/>
      </w:tblGrid>
      <w:tr>
        <w:trPr>
          <w:trHeight w:val="374"/>
        </w:trPr>
        <w:tc>
          <w:tcPr>
            <w:tcW w:w="992" w:type="dxa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  <w:r/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43"/>
        <w:ind w:right="-2"/>
        <w:spacing w:before="0" w:beforeAutospacing="0" w:after="0" w:afterAutospacing="0" w:line="17" w:lineRule="exac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tbl>
      <w:tblPr>
        <w:tblStyle w:val="949"/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6747"/>
        <w:gridCol w:w="2459"/>
        <w:gridCol w:w="4362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1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болезней животных, обеспечение безопасности продукции животного происхождения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ветеринарно-санитарном отношении и защита населения от болезней, общих для человека и животных»</w:t>
            </w:r>
            <w:r/>
            <w:r/>
          </w:p>
          <w:p>
            <w:r/>
            <w:r/>
            <w:r/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«Биробиджанская райветстанция», 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25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возникновения и широкого распространения особо опасных болезней животных и обеспечение выпуска продукции животного происхождения, безопасной в ветеринарно-санитарном отношении,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«Биробиджанская райветстанция», 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172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части потерь физическим и юридическим лицам, являющимся собственниками КРС, больного лейкозом, – за 15 голов КРС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  <w:r/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25.12.2028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/>
            <w:r/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областных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учреждений, функции и полномочия учредителя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осуществляет департамент ветеринарии»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ОГБУ «Биробиджанская райветстанция»,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«Ленинская райветстанция», ОГБУ «Смидовичская райветстанция»,                                              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425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/>
            <w:r/>
          </w:p>
        </w:tc>
      </w:tr>
      <w:tr>
        <w:trPr>
          <w:trHeight w:val="557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pStyle w:val="93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ветеринарии,</w:t>
            </w:r>
            <w:r/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ОГВДБУ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Облветлаборатория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ОГБУ «Биробиджанская райветстанция», ОГБУ «Биробиджанская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горветстанция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/>
            <w:r/>
          </w:p>
        </w:tc>
      </w:tr>
      <w:tr>
        <w:trPr>
          <w:trHeight w:val="60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лабораторных, диагностических исследований в количестве 35400 проб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обработок (вакцинаций) в количестве 172600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головообработок</w:t>
            </w:r>
            <w:r/>
            <w:r/>
          </w:p>
        </w:tc>
        <w:tc>
          <w:tcPr>
            <w:tcW w:w="246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pStyle w:val="93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«Организация и проведение мероприятий, связанных с содержанием и оборотом животных, в соответствии с федеральным и областным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и сельского хозяйства,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«Октябрьский муниципальный район» Еврейской автономной области (по согласованию), муниципальное образование «Смидовичский муниципальный район» Еврейской автономной области (по согласованию), муниципальное образование «Облученский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578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владельцев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9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1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436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промышленности и сельского хозяйства, муниципальное образование «Биробиджанский муниципальный район» Еврейской автономной области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муниципальное образование «Ленинский муниципальный район» Еврейской автономной области (по согласованию), муниципальное образование «Октябрьский муниципальный район» Еврейской автономной области (по согласованию), муниципальное образование «Смидови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чский муниципальный район» Еврейской автономной области (по согласованию), муниципальное образование «Облученский муниципальный район» Еврейской автономной области (по согласованию), муниципальное образование «Город Биробиджан»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при осуществлении деятельности по обращению с животными без владельцев в количестве около 331 головы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46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программного обеспечения в количестве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единиц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6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3"/>
        </w:trPr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5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средств идентификации животных в количестве не менее 100 единиц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461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36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r/>
      <w:r/>
      <w:r/>
    </w:p>
    <w:p>
      <w:pPr>
        <w:pStyle w:val="954"/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/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>
      <w:rPr>
        <w:rFonts w:asciiTheme="minorHAnsi" w:hAnsiTheme="minorHAnsi" w:cstheme="minorHAnsi"/>
        <w:sz w:val="4"/>
        <w:szCs w:val="16"/>
      </w:rPr>
    </w:r>
    <w:r>
      <w:rPr>
        <w:rFonts w:asciiTheme="minorHAnsi" w:hAnsiTheme="minorHAnsi" w:cstheme="minorHAnsi"/>
        <w:sz w:val="4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>
      <w:rPr>
        <w:rFonts w:asciiTheme="minorHAnsi" w:hAnsiTheme="minorHAnsi" w:cstheme="minorHAnsi"/>
        <w:sz w:val="2"/>
        <w:szCs w:val="16"/>
        <w:lang w:val="en-US"/>
      </w:rPr>
    </w:r>
    <w:r>
      <w:rPr>
        <w:rFonts w:asciiTheme="minorHAnsi" w:hAnsiTheme="minorHAnsi" w:cstheme="minorHAnsi"/>
        <w:sz w:val="2"/>
        <w:szCs w:val="1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4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4"/>
    <w:link w:val="932"/>
    <w:uiPriority w:val="9"/>
    <w:rPr>
      <w:rFonts w:ascii="Arial" w:hAnsi="Arial" w:eastAsia="Arial" w:cs="Arial"/>
      <w:sz w:val="40"/>
      <w:szCs w:val="40"/>
    </w:rPr>
  </w:style>
  <w:style w:type="paragraph" w:styleId="761">
    <w:name w:val="Heading 2"/>
    <w:basedOn w:val="931"/>
    <w:next w:val="93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2">
    <w:name w:val="Heading 2 Char"/>
    <w:basedOn w:val="934"/>
    <w:link w:val="761"/>
    <w:uiPriority w:val="9"/>
    <w:rPr>
      <w:rFonts w:ascii="Arial" w:hAnsi="Arial" w:eastAsia="Arial" w:cs="Arial"/>
      <w:sz w:val="34"/>
    </w:rPr>
  </w:style>
  <w:style w:type="character" w:styleId="763">
    <w:name w:val="Heading 3 Char"/>
    <w:basedOn w:val="934"/>
    <w:link w:val="933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1"/>
    <w:next w:val="931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4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1"/>
    <w:next w:val="931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4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1"/>
    <w:next w:val="93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4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1"/>
    <w:next w:val="931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4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1"/>
    <w:next w:val="931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4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1"/>
    <w:next w:val="931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before="0" w:after="0" w:line="240" w:lineRule="auto"/>
    </w:pPr>
  </w:style>
  <w:style w:type="paragraph" w:styleId="777">
    <w:name w:val="Title"/>
    <w:basedOn w:val="931"/>
    <w:next w:val="931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basedOn w:val="934"/>
    <w:link w:val="777"/>
    <w:uiPriority w:val="10"/>
    <w:rPr>
      <w:sz w:val="48"/>
      <w:szCs w:val="48"/>
    </w:rPr>
  </w:style>
  <w:style w:type="paragraph" w:styleId="779">
    <w:name w:val="Subtitle"/>
    <w:basedOn w:val="931"/>
    <w:next w:val="931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4"/>
    <w:link w:val="779"/>
    <w:uiPriority w:val="11"/>
    <w:rPr>
      <w:sz w:val="24"/>
      <w:szCs w:val="24"/>
    </w:rPr>
  </w:style>
  <w:style w:type="paragraph" w:styleId="781">
    <w:name w:val="Quote"/>
    <w:basedOn w:val="931"/>
    <w:next w:val="931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1"/>
    <w:next w:val="931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4"/>
    <w:link w:val="944"/>
    <w:uiPriority w:val="99"/>
  </w:style>
  <w:style w:type="character" w:styleId="786">
    <w:name w:val="Footer Char"/>
    <w:basedOn w:val="934"/>
    <w:link w:val="946"/>
    <w:uiPriority w:val="99"/>
  </w:style>
  <w:style w:type="paragraph" w:styleId="787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946"/>
    <w:uiPriority w:val="99"/>
  </w:style>
  <w:style w:type="table" w:styleId="789">
    <w:name w:val="Table Grid Light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basedOn w:val="9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8">
    <w:name w:val="List Table 7 Colorful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9">
    <w:name w:val="List Table 7 Colorful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0">
    <w:name w:val="List Table 7 Colorful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1">
    <w:name w:val="List Table 7 Colorful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2">
    <w:name w:val="List Table 7 Colorful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3">
    <w:name w:val="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 &amp; Lined - Accent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2">
    <w:name w:val="Bordered &amp; Lined - Accent 2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3">
    <w:name w:val="Bordered &amp; Lined - Accent 3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4">
    <w:name w:val="Bordered &amp; Lined - Accent 4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5">
    <w:name w:val="Bordered &amp; Lined - Accent 5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6">
    <w:name w:val="Bordered &amp; Lined - Accent 6"/>
    <w:basedOn w:val="9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7">
    <w:name w:val="Bordered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basedOn w:val="9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basedOn w:val="934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4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>
    <w:name w:val="Heading 1"/>
    <w:basedOn w:val="931"/>
    <w:next w:val="931"/>
    <w:link w:val="937"/>
    <w:uiPriority w:val="9"/>
    <w:qFormat/>
    <w:pPr>
      <w:keepNext/>
      <w:outlineLvl w:val="0"/>
    </w:pPr>
    <w:rPr>
      <w:sz w:val="28"/>
      <w:szCs w:val="28"/>
    </w:rPr>
  </w:style>
  <w:style w:type="paragraph" w:styleId="933">
    <w:name w:val="Heading 3"/>
    <w:basedOn w:val="931"/>
    <w:next w:val="931"/>
    <w:link w:val="952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34" w:default="1">
    <w:name w:val="Default Paragraph Font"/>
    <w:uiPriority w:val="1"/>
    <w:semiHidden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character" w:styleId="937" w:customStyle="1">
    <w:name w:val="Заголовок 1 Знак"/>
    <w:basedOn w:val="934"/>
    <w:link w:val="932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38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39">
    <w:name w:val="Hyperlink"/>
    <w:basedOn w:val="934"/>
    <w:uiPriority w:val="99"/>
    <w:unhideWhenUsed/>
    <w:rPr>
      <w:rFonts w:cs="Times New Roman"/>
      <w:color w:val="0000ff"/>
      <w:u w:val="single"/>
    </w:rPr>
  </w:style>
  <w:style w:type="paragraph" w:styleId="940">
    <w:name w:val="Body Text"/>
    <w:basedOn w:val="931"/>
    <w:link w:val="941"/>
    <w:uiPriority w:val="99"/>
    <w:pPr>
      <w:jc w:val="both"/>
    </w:pPr>
    <w:rPr>
      <w:sz w:val="28"/>
      <w:szCs w:val="28"/>
    </w:rPr>
  </w:style>
  <w:style w:type="character" w:styleId="941" w:customStyle="1">
    <w:name w:val="Основной текст Знак"/>
    <w:basedOn w:val="934"/>
    <w:link w:val="94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2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43" w:customStyle="1">
    <w:name w:val="formattext"/>
    <w:basedOn w:val="931"/>
    <w:pPr>
      <w:spacing w:before="100" w:beforeAutospacing="1" w:after="100" w:afterAutospacing="1"/>
    </w:pPr>
  </w:style>
  <w:style w:type="paragraph" w:styleId="944">
    <w:name w:val="Header"/>
    <w:basedOn w:val="931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 w:customStyle="1">
    <w:name w:val="Верхний колонтитул Знак"/>
    <w:basedOn w:val="934"/>
    <w:link w:val="9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>
    <w:name w:val="Footer"/>
    <w:basedOn w:val="931"/>
    <w:link w:val="947"/>
    <w:uiPriority w:val="99"/>
    <w:pPr>
      <w:tabs>
        <w:tab w:val="center" w:pos="4677" w:leader="none"/>
        <w:tab w:val="right" w:pos="9355" w:leader="none"/>
      </w:tabs>
    </w:pPr>
  </w:style>
  <w:style w:type="character" w:styleId="947" w:customStyle="1">
    <w:name w:val="Нижний колонтитул Знак"/>
    <w:basedOn w:val="934"/>
    <w:link w:val="94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List Paragraph"/>
    <w:basedOn w:val="931"/>
    <w:uiPriority w:val="34"/>
    <w:qFormat/>
    <w:pPr>
      <w:contextualSpacing/>
      <w:ind w:left="720"/>
    </w:pPr>
  </w:style>
  <w:style w:type="table" w:styleId="949">
    <w:name w:val="Table Grid"/>
    <w:basedOn w:val="9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0">
    <w:name w:val="Balloon Text"/>
    <w:basedOn w:val="931"/>
    <w:link w:val="95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1" w:customStyle="1">
    <w:name w:val="Текст выноски Знак"/>
    <w:basedOn w:val="934"/>
    <w:link w:val="9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2" w:customStyle="1">
    <w:name w:val="Заголовок 3 Знак"/>
    <w:basedOn w:val="934"/>
    <w:link w:val="933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53" w:customStyle="1">
    <w:name w:val="Сетка таблицы1"/>
    <w:basedOn w:val="935"/>
    <w:next w:val="9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76</cp:revision>
  <dcterms:created xsi:type="dcterms:W3CDTF">2022-01-24T01:18:00Z</dcterms:created>
  <dcterms:modified xsi:type="dcterms:W3CDTF">2024-01-09T07:08:49Z</dcterms:modified>
</cp:coreProperties>
</file>